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31" w:rsidRDefault="00932F31" w:rsidP="00932F31">
      <w:pPr>
        <w:jc w:val="both"/>
        <w:rPr>
          <w:b/>
        </w:rPr>
      </w:pPr>
      <w:bookmarkStart w:id="0" w:name="_GoBack"/>
      <w:bookmarkEnd w:id="0"/>
      <w:r>
        <w:rPr>
          <w:b/>
        </w:rPr>
        <w:t>Bilaga 3</w:t>
      </w:r>
    </w:p>
    <w:p w:rsidR="00932F31" w:rsidRDefault="00932F31" w:rsidP="00932F31">
      <w:pPr>
        <w:rPr>
          <w:b/>
        </w:rPr>
      </w:pPr>
    </w:p>
    <w:p w:rsidR="00932F31" w:rsidRDefault="00932F31" w:rsidP="00932F31">
      <w:pPr>
        <w:rPr>
          <w:b/>
        </w:rPr>
      </w:pPr>
      <w:proofErr w:type="gramStart"/>
      <w:r>
        <w:rPr>
          <w:b/>
        </w:rPr>
        <w:t>Utdrag</w:t>
      </w:r>
      <w:proofErr w:type="gramEnd"/>
      <w:r>
        <w:rPr>
          <w:b/>
        </w:rPr>
        <w:t xml:space="preserve"> ur lagen om integritetsskydd i arbetslivet</w:t>
      </w:r>
    </w:p>
    <w:p w:rsidR="00932F31" w:rsidRDefault="00932F31" w:rsidP="00932F31">
      <w:pPr>
        <w:rPr>
          <w:b/>
        </w:rPr>
      </w:pPr>
    </w:p>
    <w:p w:rsidR="00932F31" w:rsidRDefault="00932F31" w:rsidP="00932F31">
      <w:pPr>
        <w:rPr>
          <w:b/>
        </w:rPr>
      </w:pPr>
      <w:r>
        <w:rPr>
          <w:b/>
        </w:rPr>
        <w:t>Kapitel 3</w:t>
      </w:r>
    </w:p>
    <w:p w:rsidR="00932F31" w:rsidRDefault="00932F31" w:rsidP="00932F31">
      <w:pPr>
        <w:rPr>
          <w:b/>
        </w:rPr>
      </w:pPr>
      <w:r>
        <w:rPr>
          <w:b/>
        </w:rPr>
        <w:t>Behandling av uppgifter om narkotikabruk</w:t>
      </w:r>
    </w:p>
    <w:p w:rsidR="00932F31" w:rsidRDefault="00932F31" w:rsidP="00932F31">
      <w:bookmarkStart w:id="1" w:name="P6"/>
    </w:p>
    <w:p w:rsidR="00932F31" w:rsidRDefault="00932F31" w:rsidP="00932F31">
      <w:pPr>
        <w:rPr>
          <w:b/>
          <w:bCs/>
        </w:rPr>
      </w:pPr>
      <w:hyperlink r:id="rId6" w:anchor="a759-2004#a759-2004" w:tooltip="Linkki voimaantulosäännökseen" w:history="1">
        <w:r>
          <w:rPr>
            <w:rStyle w:val="Hyperlink"/>
            <w:b/>
          </w:rPr>
          <w:t>6</w:t>
        </w:r>
        <w:proofErr w:type="gramStart"/>
        <w:r>
          <w:rPr>
            <w:rStyle w:val="Hyperlink"/>
            <w:b/>
          </w:rPr>
          <w:t xml:space="preserve"> §</w:t>
        </w:r>
      </w:hyperlink>
      <w:bookmarkEnd w:id="1"/>
      <w:proofErr w:type="gramEnd"/>
      <w:r>
        <w:rPr>
          <w:b/>
        </w:rPr>
        <w:t xml:space="preserve"> Intyg över narkotikatest</w:t>
      </w:r>
    </w:p>
    <w:p w:rsidR="00932F31" w:rsidRDefault="00932F31" w:rsidP="00932F31">
      <w:pPr>
        <w:rPr>
          <w:b/>
          <w:bCs/>
        </w:rPr>
      </w:pPr>
      <w:r>
        <w:br/>
        <w:t xml:space="preserve">Arbetsgivaren får behandla endast sådana testuppgifter om arbetstagarens narkotikabruk som ingår i ett intyg över narkotikatest som arbetstagaren </w:t>
      </w:r>
      <w:proofErr w:type="gramStart"/>
      <w:r>
        <w:t>tillställt</w:t>
      </w:r>
      <w:proofErr w:type="gramEnd"/>
      <w:r>
        <w:t xml:space="preserve"> arbetsgivaren. På behandlingen av uppgifter tillämpas i övrigt vad som bestäms i 5 § 2–4 mom.</w:t>
      </w:r>
    </w:p>
    <w:p w:rsidR="00932F31" w:rsidRDefault="00932F31" w:rsidP="00932F31">
      <w:pPr>
        <w:rPr>
          <w:b/>
          <w:bCs/>
        </w:rPr>
      </w:pPr>
      <w:r>
        <w:br/>
        <w:t xml:space="preserve">Med intyg över narkotikatest avses ett intyg som en yrkesutbildad person inom hälso- och sjukvården och ett laboratorium som anvisats av arbetsgivaren har utfärdat över att arbetstagaren har genomgått ett test för utredning av användning av sådan narkotika som avses i 3 § 1 mom. 5 punkten i narkotikalagen (373/2008) och i vilket ingår en på basis av testet uppgjord redogörelse för om arbetstagaren har använt narkotika för andra än medicinska ändamål på ett sätt som försämrar hans eller hennes arbets- eller funktionsförmåga. </w:t>
      </w:r>
    </w:p>
    <w:p w:rsidR="00932F31" w:rsidRDefault="00932F31" w:rsidP="00932F31">
      <w:pPr>
        <w:rPr>
          <w:b/>
          <w:bCs/>
        </w:rPr>
      </w:pPr>
      <w:r>
        <w:t>I fråga om narkotikatest och intyg över narkotikatest gäller det som föreskrivs i 19 § i lagen om företagshälsovård.</w:t>
      </w:r>
    </w:p>
    <w:p w:rsidR="00932F31" w:rsidRDefault="00932F31" w:rsidP="00932F31">
      <w:bookmarkStart w:id="2" w:name="P7"/>
    </w:p>
    <w:p w:rsidR="00932F31" w:rsidRDefault="00932F31" w:rsidP="00932F31">
      <w:pPr>
        <w:rPr>
          <w:b/>
          <w:bCs/>
        </w:rPr>
      </w:pPr>
      <w:hyperlink r:id="rId7" w:anchor="a759-2004#a759-2004" w:tooltip="Linkki voimaantulosäännökseen" w:history="1">
        <w:r>
          <w:rPr>
            <w:rStyle w:val="Hyperlink"/>
            <w:b/>
          </w:rPr>
          <w:t>7</w:t>
        </w:r>
        <w:proofErr w:type="gramStart"/>
        <w:r>
          <w:rPr>
            <w:rStyle w:val="Hyperlink"/>
            <w:b/>
          </w:rPr>
          <w:t xml:space="preserve"> §</w:t>
        </w:r>
      </w:hyperlink>
      <w:bookmarkEnd w:id="2"/>
      <w:proofErr w:type="gramEnd"/>
      <w:r>
        <w:rPr>
          <w:b/>
        </w:rPr>
        <w:t xml:space="preserve"> Lämnande av intyg över narkotikatest vid anställning</w:t>
      </w:r>
    </w:p>
    <w:p w:rsidR="00932F31" w:rsidRDefault="00932F31" w:rsidP="00932F31">
      <w:r>
        <w:br/>
        <w:t xml:space="preserve">Arbetsgivaren får ta emot eller i övrigt behandla uppgifter i intyget över narkotikatest med samtycke av den arbetssökande som valts till ett uppdrag endast då avsikten är att arbetssökanden skall ha sådana arbetsuppgifter som förutsätter noggrannhet, tillförlitlighet, självständig omdömesförmåga eller god reaktionsförmåga och utförandet av arbetsuppgifterna. </w:t>
      </w:r>
    </w:p>
    <w:p w:rsidR="00932F31" w:rsidRDefault="00932F31" w:rsidP="00932F31">
      <w:pPr>
        <w:rPr>
          <w:bCs/>
        </w:rPr>
      </w:pPr>
      <w:r>
        <w:t>under påverkan av narkotika eller beroende av narkotika kan</w:t>
      </w:r>
    </w:p>
    <w:p w:rsidR="00932F31" w:rsidRDefault="00932F31" w:rsidP="00932F31">
      <w:pPr>
        <w:numPr>
          <w:ilvl w:val="0"/>
          <w:numId w:val="1"/>
        </w:numPr>
      </w:pPr>
      <w:r>
        <w:t>äventyra arbetstagarens eller andras liv, hälsa eller arbetarskydd,</w:t>
      </w:r>
    </w:p>
    <w:p w:rsidR="00932F31" w:rsidRDefault="00932F31" w:rsidP="00932F31">
      <w:pPr>
        <w:numPr>
          <w:ilvl w:val="0"/>
          <w:numId w:val="1"/>
        </w:numPr>
        <w:rPr>
          <w:bCs/>
        </w:rPr>
      </w:pPr>
      <w:r>
        <w:t>äventyra landets försvar eller statens säkerhet,</w:t>
      </w:r>
    </w:p>
    <w:p w:rsidR="00932F31" w:rsidRDefault="00932F31" w:rsidP="00932F31">
      <w:pPr>
        <w:numPr>
          <w:ilvl w:val="0"/>
          <w:numId w:val="1"/>
        </w:numPr>
        <w:rPr>
          <w:bCs/>
        </w:rPr>
      </w:pPr>
      <w:r>
        <w:t>äventyra trafiksäkerheten,</w:t>
      </w:r>
    </w:p>
    <w:p w:rsidR="00932F31" w:rsidRDefault="00932F31" w:rsidP="00932F31">
      <w:pPr>
        <w:numPr>
          <w:ilvl w:val="0"/>
          <w:numId w:val="1"/>
        </w:numPr>
        <w:rPr>
          <w:bCs/>
        </w:rPr>
      </w:pPr>
      <w:r>
        <w:t>öka risken för betydande miljöskador,</w:t>
      </w:r>
    </w:p>
    <w:p w:rsidR="00932F31" w:rsidRDefault="00932F31" w:rsidP="00932F31">
      <w:pPr>
        <w:numPr>
          <w:ilvl w:val="0"/>
          <w:numId w:val="1"/>
        </w:numPr>
        <w:rPr>
          <w:bCs/>
        </w:rPr>
      </w:pPr>
      <w:r>
        <w:t>äventyra skyddet, användbarheten, integriteten och kvaliteten i fråga om uppgifter som erhållits i arbetet och därmed orsaka olägenhet eller skada för de allmänna intressen som skyddas av sekretessbestämmelserna eller äventyra de registrerades integritetsskydd eller rättigheter, eller</w:t>
      </w:r>
    </w:p>
    <w:p w:rsidR="00932F31" w:rsidRDefault="00932F31" w:rsidP="00932F31">
      <w:pPr>
        <w:numPr>
          <w:ilvl w:val="0"/>
          <w:numId w:val="1"/>
        </w:numPr>
        <w:rPr>
          <w:bCs/>
        </w:rPr>
      </w:pPr>
      <w:r>
        <w:t>äventyra affärs- eller yrkeshemlighet eller orsaka arbetsgivaren eller dennas kund ekonomisk skada som är större än ringa, om äventyrandet av affärs- eller yrkeshemligheten eller uppkomsten av en ekonomisk risk inte kan förhindras på något annat sätt.</w:t>
      </w:r>
    </w:p>
    <w:p w:rsidR="00932F31" w:rsidRDefault="00932F31" w:rsidP="00932F31"/>
    <w:p w:rsidR="00932F31" w:rsidRDefault="00932F31" w:rsidP="00932F31">
      <w:r>
        <w:t>Arbetsgivaren har en i 1 mom. avsedd på arbetstagarens samtycke grundad rätt att behandla uppgifter också då</w:t>
      </w:r>
    </w:p>
    <w:p w:rsidR="00932F31" w:rsidRDefault="00932F31" w:rsidP="00932F31">
      <w:pPr>
        <w:numPr>
          <w:ilvl w:val="0"/>
          <w:numId w:val="2"/>
        </w:numPr>
      </w:pPr>
      <w:r>
        <w:t xml:space="preserve">arbetssökanden skall sköta uppgifter i vilka förutsätts särskilt förtroende, i vilka arbetet utförs på något annat ställe än i lokaler som övervakas av arbetsgivaren och i vilka utförande av arbetet under påverkan av narkotika eller beroende av narkotika </w:t>
      </w:r>
      <w:r>
        <w:lastRenderedPageBreak/>
        <w:t>kan orsaka arbetsgivarens kund betydande ekonomisk skada eller äventyra dennas personliga säkerhet,</w:t>
      </w:r>
    </w:p>
    <w:p w:rsidR="00932F31" w:rsidRDefault="00932F31" w:rsidP="00932F31">
      <w:pPr>
        <w:numPr>
          <w:ilvl w:val="0"/>
          <w:numId w:val="2"/>
        </w:numPr>
        <w:rPr>
          <w:bCs/>
        </w:rPr>
      </w:pPr>
      <w:r>
        <w:t>arbetssökanden skall sköta uppgifter som varaktigt och i väsentlig grad består i att fostra, undervisa, sköta eller annars ta hand om minderåriga eller annars arbeta i personlig kontakt med minderåriga utan att andra personer deltar, eller</w:t>
      </w:r>
    </w:p>
    <w:p w:rsidR="00932F31" w:rsidRDefault="00932F31" w:rsidP="00932F31">
      <w:pPr>
        <w:numPr>
          <w:ilvl w:val="0"/>
          <w:numId w:val="2"/>
        </w:numPr>
        <w:rPr>
          <w:bCs/>
        </w:rPr>
      </w:pPr>
      <w:proofErr w:type="gramStart"/>
      <w:r>
        <w:t>arbetssökanden skall sköta uppgifter som innebär självständig och oövervakad hantering av narkotika eller av större än obetydliga mängder sådana läkemedel som kan användas i berusningssyfte.</w:t>
      </w:r>
      <w:proofErr w:type="gramEnd"/>
    </w:p>
    <w:p w:rsidR="00932F31" w:rsidRDefault="00932F31" w:rsidP="00932F31">
      <w:pPr>
        <w:ind w:left="360"/>
        <w:rPr>
          <w:b/>
          <w:bCs/>
        </w:rPr>
      </w:pPr>
    </w:p>
    <w:p w:rsidR="00932F31" w:rsidRDefault="00932F31" w:rsidP="00932F31">
      <w:pPr>
        <w:rPr>
          <w:b/>
          <w:bCs/>
        </w:rPr>
      </w:pPr>
      <w:r>
        <w:t>Vad som bestäms i 1 och 2 mom. tillämpas också om arbetstagarens arbetsuppgifter förändras under arbetsavtalsförhållandet så att de uppfyller ovan nämnda förutsättningar för att arbetsgivaren skall ha rätt att behandla uppgifter i intyget över narkotikatest.</w:t>
      </w:r>
    </w:p>
    <w:p w:rsidR="00932F31" w:rsidRDefault="00932F31" w:rsidP="00932F31">
      <w:pPr>
        <w:rPr>
          <w:b/>
          <w:bCs/>
        </w:rPr>
      </w:pPr>
      <w:r>
        <w:t>Bestämmelser om lämnande av ett intyg över narkotikatest till arbetsgivaren som en förutsättning för utnämning till en tjänst ingår i 8 b § i statstjänstemannalagen (750/1994) och när det gäller anställning i tjänsteförhållande i 7 § i lagen om kommunala tjänsteinnehavare (304/2003). Bestämmelser om ett antidrogprogram finns i 11 § i lagen om företagshälsovård.</w:t>
      </w:r>
    </w:p>
    <w:p w:rsidR="00932F31" w:rsidRDefault="00932F31" w:rsidP="00932F31">
      <w:bookmarkStart w:id="3" w:name="P8"/>
    </w:p>
    <w:p w:rsidR="00932F31" w:rsidRDefault="00932F31" w:rsidP="00932F31">
      <w:pPr>
        <w:rPr>
          <w:b/>
          <w:bCs/>
        </w:rPr>
      </w:pPr>
      <w:hyperlink r:id="rId8" w:anchor="a759-2004#a759-2004" w:tooltip="Linkki voimaantulosäännökseen" w:history="1">
        <w:r>
          <w:rPr>
            <w:rStyle w:val="Hyperlink"/>
            <w:b/>
          </w:rPr>
          <w:t>8</w:t>
        </w:r>
        <w:proofErr w:type="gramStart"/>
        <w:r>
          <w:rPr>
            <w:rStyle w:val="Hyperlink"/>
            <w:b/>
          </w:rPr>
          <w:t xml:space="preserve"> §</w:t>
        </w:r>
      </w:hyperlink>
      <w:bookmarkEnd w:id="3"/>
      <w:proofErr w:type="gramEnd"/>
      <w:r>
        <w:rPr>
          <w:b/>
        </w:rPr>
        <w:t xml:space="preserve"> Lämnande av intyg över narkotikatest medan ett arbetsavtalsförhållande pågår</w:t>
      </w:r>
    </w:p>
    <w:p w:rsidR="00932F31" w:rsidRDefault="00932F31" w:rsidP="00932F31">
      <w:pPr>
        <w:rPr>
          <w:b/>
          <w:bCs/>
        </w:rPr>
      </w:pPr>
      <w:r>
        <w:br/>
        <w:t>Arbetsgivaren kan förplikta arbetstagaren att medan arbetsavtalsförhållandet pågår visa upp ett intyg över narkotikatest, om arbetsgivaren har grundad anledning att misstänka att arbetstagaren är narkotikapåverkad i arbetet eller är beroende av narkotika och, om testning är nödvändig för att utreda hans eller hennes arbets- och funktionsförmåga och arbetstagaren har ett arbete som kräver särskild noggrannhet, tillförlitlighet, självständig omdömesförmåga eller god reaktionsförmåga och det, om arbetsuppgifterna utförs under narkotikapåverkan eller vid narkotikaberoende, kan</w:t>
      </w:r>
    </w:p>
    <w:p w:rsidR="00932F31" w:rsidRDefault="00932F31" w:rsidP="00932F31">
      <w:pPr>
        <w:numPr>
          <w:ilvl w:val="0"/>
          <w:numId w:val="3"/>
        </w:numPr>
      </w:pPr>
      <w:r>
        <w:t>allvarligt äventyra arbetstagarens eller andras liv, hälsa eller arbetarskydd,</w:t>
      </w:r>
    </w:p>
    <w:p w:rsidR="00932F31" w:rsidRDefault="00932F31" w:rsidP="00932F31">
      <w:pPr>
        <w:numPr>
          <w:ilvl w:val="0"/>
          <w:numId w:val="3"/>
        </w:numPr>
        <w:rPr>
          <w:bCs/>
        </w:rPr>
      </w:pPr>
      <w:r>
        <w:t>allvarligt äventyra landets försvar eller statens säkerhet,</w:t>
      </w:r>
    </w:p>
    <w:p w:rsidR="00932F31" w:rsidRDefault="00932F31" w:rsidP="00932F31">
      <w:pPr>
        <w:numPr>
          <w:ilvl w:val="0"/>
          <w:numId w:val="3"/>
        </w:numPr>
        <w:rPr>
          <w:bCs/>
        </w:rPr>
      </w:pPr>
      <w:r>
        <w:t>allvarligt äventyra trafiksäkerheten,</w:t>
      </w:r>
    </w:p>
    <w:p w:rsidR="00932F31" w:rsidRDefault="00932F31" w:rsidP="00932F31">
      <w:pPr>
        <w:numPr>
          <w:ilvl w:val="0"/>
          <w:numId w:val="3"/>
        </w:numPr>
        <w:rPr>
          <w:bCs/>
        </w:rPr>
      </w:pPr>
      <w:proofErr w:type="gramStart"/>
      <w:r>
        <w:t>avsevärt</w:t>
      </w:r>
      <w:proofErr w:type="gramEnd"/>
      <w:r>
        <w:t xml:space="preserve"> öka risken för betydande miljöskador,</w:t>
      </w:r>
    </w:p>
    <w:p w:rsidR="00932F31" w:rsidRDefault="00932F31" w:rsidP="00932F31">
      <w:pPr>
        <w:numPr>
          <w:ilvl w:val="0"/>
          <w:numId w:val="3"/>
        </w:numPr>
        <w:rPr>
          <w:bCs/>
        </w:rPr>
      </w:pPr>
      <w:r>
        <w:t>allvarligt äventyra skyddet, användbarheten, integriteten och kvaliteten i fråga om uppgifter som erhållits i arbetet och därmed orsaka olägenhet eller skada för de allmänna intressen som skyddas av sekretessbestämmelserna eller äventyra registrerades integritetsskydd eller rättigheter,</w:t>
      </w:r>
    </w:p>
    <w:p w:rsidR="00932F31" w:rsidRDefault="00932F31" w:rsidP="00932F31">
      <w:pPr>
        <w:numPr>
          <w:ilvl w:val="0"/>
          <w:numId w:val="3"/>
        </w:numPr>
        <w:rPr>
          <w:bCs/>
        </w:rPr>
      </w:pPr>
      <w:r>
        <w:t>äventyra en ekonomiskt betydande affärs- eller yrkeshemlighet eller orsaka arbetsgivaren eller dennas kund betydande ekonomisk skada, om äventyrandet av affärs- eller yrkeshemligheten eller uppkomsten av en ekonomisk risk inte kan förhindras på något annat sätt, eller</w:t>
      </w:r>
    </w:p>
    <w:p w:rsidR="00932F31" w:rsidRDefault="00932F31" w:rsidP="00932F31">
      <w:pPr>
        <w:numPr>
          <w:ilvl w:val="0"/>
          <w:numId w:val="3"/>
        </w:numPr>
        <w:rPr>
          <w:b/>
          <w:bCs/>
        </w:rPr>
      </w:pPr>
      <w:proofErr w:type="gramStart"/>
      <w:r>
        <w:t>avsevärt</w:t>
      </w:r>
      <w:proofErr w:type="gramEnd"/>
      <w:r>
        <w:t xml:space="preserve"> öka risken för olaga handel och spridning av de ämnen som avses i 3 § 1 mom. 5 punkten i narkotikalagen och som arbetsgivaren förfogar över. </w:t>
      </w:r>
    </w:p>
    <w:p w:rsidR="00932F31" w:rsidRDefault="00932F31" w:rsidP="00932F31">
      <w:pPr>
        <w:rPr>
          <w:b/>
          <w:bCs/>
        </w:rPr>
      </w:pPr>
      <w:r>
        <w:t>Arbetsgivaren kan bestämma en skälig tid inom vilken arbetstagaren skall visa upp ett intyg. Bestämmelser om ett antidrogprogram finns i 11 § i lagen om företagshälsovård.</w:t>
      </w:r>
    </w:p>
    <w:p w:rsidR="00932F31" w:rsidRDefault="00932F31" w:rsidP="00932F31">
      <w:pPr>
        <w:rPr>
          <w:b/>
          <w:bCs/>
        </w:rPr>
      </w:pPr>
      <w:r>
        <w:t>Arbetsgivaren har rätt att behandla uppgifter i intyget över narkotikatest också om arbetstagaren på basis av ett positivt resultat i ett narkotikatest har förbundit sig till vård på grund av narkotikamissbruk och behandlingen av uppgifterna i intyget hänför sig till övervakningen av vården.</w:t>
      </w:r>
    </w:p>
    <w:p w:rsidR="00932F31" w:rsidRDefault="00932F31" w:rsidP="00932F31">
      <w:bookmarkStart w:id="4" w:name="P9"/>
    </w:p>
    <w:p w:rsidR="00932F31" w:rsidRDefault="00932F31" w:rsidP="00932F31">
      <w:pPr>
        <w:rPr>
          <w:b/>
          <w:bCs/>
        </w:rPr>
      </w:pPr>
      <w:hyperlink r:id="rId9" w:anchor="a759-2004#a759-2004" w:tooltip="Linkki voimaantulosäännökseen" w:history="1">
        <w:r>
          <w:rPr>
            <w:rStyle w:val="Hyperlink"/>
            <w:b/>
          </w:rPr>
          <w:t>9</w:t>
        </w:r>
        <w:proofErr w:type="gramStart"/>
        <w:r>
          <w:rPr>
            <w:rStyle w:val="Hyperlink"/>
            <w:b/>
          </w:rPr>
          <w:t xml:space="preserve"> §</w:t>
        </w:r>
      </w:hyperlink>
      <w:bookmarkEnd w:id="4"/>
      <w:proofErr w:type="gramEnd"/>
      <w:r>
        <w:rPr>
          <w:b/>
        </w:rPr>
        <w:t xml:space="preserve"> Arbetsgivares upplysningsplikt om intyg över narkotikatest</w:t>
      </w:r>
    </w:p>
    <w:p w:rsidR="00932F31" w:rsidRDefault="00932F31" w:rsidP="00932F31">
      <w:pPr>
        <w:rPr>
          <w:b/>
          <w:bCs/>
        </w:rPr>
      </w:pPr>
      <w:r>
        <w:br/>
        <w:t>Arbetsgivaren skall i samband med ansökningsförfarandet, innan arbetsavtal ingås,</w:t>
      </w:r>
      <w:r>
        <w:rPr>
          <w:color w:val="0000FF"/>
        </w:rPr>
        <w:t xml:space="preserve"> </w:t>
      </w:r>
      <w:r>
        <w:t xml:space="preserve">underrätta </w:t>
      </w:r>
      <w:r>
        <w:lastRenderedPageBreak/>
        <w:t>arbetssökanden eller, innan arbetsvillkoren ändras, underrätta arbetstagaren om att det är fråga om en arbetsuppgift på basis av vilken arbetsgivaren ämnar behandla uppgifter i ett intyg över narkotikatest i enlighet med 7 § eller på basis av vilken arbetsgivaren ämnar förplikta arbetstagaren att visa upp ett intyg över narkotikatest i enlighet med 8 § 2 mom.</w:t>
      </w:r>
    </w:p>
    <w:p w:rsidR="00932F31" w:rsidRDefault="00932F31" w:rsidP="00932F31">
      <w:bookmarkStart w:id="5" w:name="P10"/>
    </w:p>
    <w:p w:rsidR="00932F31" w:rsidRDefault="00932F31" w:rsidP="00932F31">
      <w:pPr>
        <w:rPr>
          <w:b/>
          <w:bCs/>
        </w:rPr>
      </w:pPr>
      <w:hyperlink r:id="rId10" w:anchor="a759-2004#a759-2004" w:tooltip="Linkki voimaantulosäännökseen" w:history="1">
        <w:r>
          <w:rPr>
            <w:rStyle w:val="Hyperlink"/>
            <w:b/>
          </w:rPr>
          <w:t>10</w:t>
        </w:r>
        <w:proofErr w:type="gramStart"/>
        <w:r>
          <w:rPr>
            <w:rStyle w:val="Hyperlink"/>
            <w:b/>
          </w:rPr>
          <w:t xml:space="preserve"> §</w:t>
        </w:r>
      </w:hyperlink>
      <w:bookmarkEnd w:id="5"/>
      <w:proofErr w:type="gramEnd"/>
      <w:r>
        <w:rPr>
          <w:b/>
        </w:rPr>
        <w:t xml:space="preserve"> Kostnader för skaffande av intyg</w:t>
      </w:r>
    </w:p>
    <w:p w:rsidR="00932F31" w:rsidRDefault="00932F31" w:rsidP="00932F31">
      <w:r>
        <w:br/>
        <w:t xml:space="preserve">Arbetsgivaren svarar för kostnaderna för skaffande av de intyg som </w:t>
      </w:r>
      <w:proofErr w:type="gramStart"/>
      <w:r>
        <w:t>tillställs</w:t>
      </w:r>
      <w:proofErr w:type="gramEnd"/>
      <w:r>
        <w:t xml:space="preserve"> arbetsgivaren och som avses i detta kapitel.</w:t>
      </w:r>
    </w:p>
    <w:p w:rsidR="00932F31" w:rsidRDefault="00932F31" w:rsidP="00932F31">
      <w:pPr>
        <w:rPr>
          <w:b/>
          <w:bCs/>
        </w:rPr>
      </w:pPr>
    </w:p>
    <w:bookmarkStart w:id="6" w:name="P11"/>
    <w:p w:rsidR="00932F31" w:rsidRDefault="00932F31" w:rsidP="00932F31">
      <w:pPr>
        <w:rPr>
          <w:b/>
          <w:bCs/>
        </w:rPr>
      </w:pPr>
      <w:r>
        <w:fldChar w:fldCharType="begin"/>
      </w:r>
      <w:r>
        <w:instrText xml:space="preserve"> HYPERLINK "http://www.finlex.fi/sv/laki/ajantasa/2004/20040759" \l "a759-2004#a759-2004" \o "Linkki voimaantulosäännökseen" </w:instrText>
      </w:r>
      <w:r>
        <w:fldChar w:fldCharType="separate"/>
      </w:r>
      <w:r>
        <w:rPr>
          <w:rStyle w:val="Hyperlink"/>
          <w:b/>
        </w:rPr>
        <w:t>11</w:t>
      </w:r>
      <w:proofErr w:type="gramStart"/>
      <w:r>
        <w:rPr>
          <w:rStyle w:val="Hyperlink"/>
          <w:b/>
        </w:rPr>
        <w:t xml:space="preserve"> §</w:t>
      </w:r>
      <w:r>
        <w:fldChar w:fldCharType="end"/>
      </w:r>
      <w:bookmarkEnd w:id="6"/>
      <w:proofErr w:type="gramEnd"/>
      <w:r>
        <w:rPr>
          <w:b/>
        </w:rPr>
        <w:t xml:space="preserve"> Förhållande till bestämmelserna om hälsoundersökningar</w:t>
      </w:r>
    </w:p>
    <w:p w:rsidR="00932F31" w:rsidRDefault="00932F31" w:rsidP="00932F31">
      <w:pPr>
        <w:rPr>
          <w:b/>
          <w:bCs/>
        </w:rPr>
      </w:pPr>
      <w:r>
        <w:br/>
        <w:t>Vad som bestäms i 7 och 8 § utgör inget hinder för att narkotikatest utförs som en del av den hälsoundersökning av en arbetssökande eller en arbetstagare som en enhet inom företagshälsovården utför med stöd av lagen om företagshälsovård, statstjänstemannalagen eller lagen om kommunala tjänsteinnehavare. Bestämmelser om de uppgifter som skall antecknas i ett intyg över hälsoundersökning enligt lagen om företagshälsovård utfärdas särskilt.</w:t>
      </w:r>
    </w:p>
    <w:p w:rsidR="00932F31" w:rsidRDefault="00932F31" w:rsidP="00932F31">
      <w:bookmarkStart w:id="7" w:name="P12"/>
    </w:p>
    <w:p w:rsidR="00932F31" w:rsidRDefault="00932F31" w:rsidP="00932F31">
      <w:pPr>
        <w:rPr>
          <w:b/>
          <w:bCs/>
        </w:rPr>
      </w:pPr>
      <w:hyperlink r:id="rId11" w:anchor="a759-2004#a759-2004" w:tooltip="Linkki voimaantulosäännökseen" w:history="1">
        <w:r>
          <w:rPr>
            <w:rStyle w:val="Hyperlink"/>
            <w:b/>
          </w:rPr>
          <w:t>12</w:t>
        </w:r>
        <w:proofErr w:type="gramStart"/>
        <w:r>
          <w:rPr>
            <w:rStyle w:val="Hyperlink"/>
            <w:b/>
          </w:rPr>
          <w:t xml:space="preserve"> §</w:t>
        </w:r>
      </w:hyperlink>
      <w:bookmarkEnd w:id="7"/>
      <w:proofErr w:type="gramEnd"/>
      <w:r>
        <w:rPr>
          <w:b/>
        </w:rPr>
        <w:t xml:space="preserve"> Tillämpning av bestämmelserna på professionella idrottsutövare</w:t>
      </w:r>
    </w:p>
    <w:p w:rsidR="00932F31" w:rsidRDefault="00932F31" w:rsidP="00932F31"/>
    <w:p w:rsidR="00932F31" w:rsidRDefault="00932F31" w:rsidP="00932F31">
      <w:pPr>
        <w:rPr>
          <w:b/>
          <w:bCs/>
        </w:rPr>
      </w:pPr>
      <w:r>
        <w:t>Bestämmelserna i detta kapitel tillämpas inte på idrottsutövare som är anställda i ett sådant arbetsavtalsförhållande som avses i 1 kap. 1 § i arbetsavtalslagen (55/2001).</w:t>
      </w:r>
    </w:p>
    <w:p w:rsidR="00932F31" w:rsidRDefault="00932F31" w:rsidP="00932F31"/>
    <w:p w:rsidR="00932F31" w:rsidRDefault="00932F31" w:rsidP="00932F31">
      <w:pPr>
        <w:ind w:left="360" w:hanging="360"/>
        <w:rPr>
          <w:b/>
          <w:bCs/>
        </w:rPr>
      </w:pPr>
    </w:p>
    <w:p w:rsidR="003D060F" w:rsidRDefault="003D060F"/>
    <w:sectPr w:rsidR="003D0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1A02"/>
    <w:multiLevelType w:val="hybridMultilevel"/>
    <w:tmpl w:val="E068A942"/>
    <w:lvl w:ilvl="0" w:tplc="041D0011">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
    <w:nsid w:val="5B343225"/>
    <w:multiLevelType w:val="hybridMultilevel"/>
    <w:tmpl w:val="418641F6"/>
    <w:lvl w:ilvl="0" w:tplc="041D0011">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nsid w:val="66D37E12"/>
    <w:multiLevelType w:val="hybridMultilevel"/>
    <w:tmpl w:val="6A522346"/>
    <w:lvl w:ilvl="0" w:tplc="041D0011">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31"/>
    <w:rsid w:val="003D060F"/>
    <w:rsid w:val="00932F3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31"/>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F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31"/>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sv/laki/ajantasa/2004/2004075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inlex.fi/sv/laki/ajantasa/2004/200407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lex.fi/sv/laki/ajantasa/2004/20040759" TargetMode="External"/><Relationship Id="rId11" Type="http://schemas.openxmlformats.org/officeDocument/2006/relationships/hyperlink" Target="http://www.finlex.fi/sv/laki/ajantasa/2004/20040759" TargetMode="External"/><Relationship Id="rId5" Type="http://schemas.openxmlformats.org/officeDocument/2006/relationships/webSettings" Target="webSettings.xml"/><Relationship Id="rId10" Type="http://schemas.openxmlformats.org/officeDocument/2006/relationships/hyperlink" Target="http://www.finlex.fi/sv/laki/ajantasa/2004/20040759" TargetMode="External"/><Relationship Id="rId4" Type="http://schemas.openxmlformats.org/officeDocument/2006/relationships/settings" Target="settings.xml"/><Relationship Id="rId9" Type="http://schemas.openxmlformats.org/officeDocument/2006/relationships/hyperlink" Target="http://www.finlex.fi/sv/laki/ajantasa/2004/2004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1294</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Novia</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Lindegård</dc:creator>
  <cp:lastModifiedBy>Camilla Lindegård</cp:lastModifiedBy>
  <cp:revision>1</cp:revision>
  <dcterms:created xsi:type="dcterms:W3CDTF">2013-06-03T12:03:00Z</dcterms:created>
  <dcterms:modified xsi:type="dcterms:W3CDTF">2013-06-03T12:08:00Z</dcterms:modified>
</cp:coreProperties>
</file>